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861C" w14:textId="77777777" w:rsidR="000E307E" w:rsidRDefault="00650EDC">
      <w:pPr>
        <w:pStyle w:val="Title"/>
      </w:pPr>
      <w:r>
        <w:t>Initial Licensure Employer Survey 2024-2025 - Longwood University</w:t>
      </w:r>
    </w:p>
    <w:p w14:paraId="0B1C861D" w14:textId="77777777" w:rsidR="000E307E" w:rsidRDefault="00650EDC">
      <w:pPr>
        <w:pStyle w:val="Author"/>
      </w:pPr>
      <w:r>
        <w:t>Virginia Education Assessment Collaborative</w:t>
      </w:r>
    </w:p>
    <w:p w14:paraId="0B1C861E" w14:textId="77777777" w:rsidR="000E307E" w:rsidRDefault="001D307A">
      <w:r>
        <w:pict w14:anchorId="0B1C86D8">
          <v:rect id="_x0000_i1025" style="width:0;height:1.5pt" o:hralign="center" o:hrstd="t" o:hr="t"/>
        </w:pict>
      </w:r>
    </w:p>
    <w:p w14:paraId="0B1C861F" w14:textId="77777777" w:rsidR="000E307E" w:rsidRDefault="00650EDC">
      <w:pPr>
        <w:pStyle w:val="FirstParagraph"/>
      </w:pPr>
      <w:r>
        <w:rPr>
          <w:b/>
          <w:bCs/>
        </w:rPr>
        <w:t>Virginia Education Assessment Collaborative</w:t>
      </w:r>
    </w:p>
    <w:p w14:paraId="0B1C8620" w14:textId="77777777" w:rsidR="000E307E" w:rsidRDefault="00650EDC">
      <w:pPr>
        <w:pStyle w:val="BodyText"/>
      </w:pPr>
      <w:r>
        <w:t>The Virginia Education Assessment Collaborative (VEAC) is a growing partnership between Educator Preparation Programs (EPP) in the Commonwealth of Virginia. Our purpose is to provide a centralized assessment structure for Virginia EPPs that standardizes and reduces the complexity of data collection for both the Virginia Department of Education (VDOE) and the Council for the Accreditation of Educator Preparation (CAEP).</w:t>
      </w:r>
    </w:p>
    <w:p w14:paraId="0B1C8621" w14:textId="77777777" w:rsidR="000E307E" w:rsidRDefault="00650EDC">
      <w:pPr>
        <w:pStyle w:val="BodyText"/>
      </w:pPr>
      <w:r>
        <w:rPr>
          <w:b/>
          <w:bCs/>
        </w:rPr>
        <w:t>2024-25 VEAC Leadership</w:t>
      </w:r>
    </w:p>
    <w:p w14:paraId="0B1C8622" w14:textId="77777777" w:rsidR="000E307E" w:rsidRDefault="00650EDC">
      <w:pPr>
        <w:pStyle w:val="BodyText"/>
      </w:pPr>
      <w:r>
        <w:t>Committee: Hilary Campbell – James Madison University, Joel Hanel – University of Virginia, Savanna Love – Virginia Commonwealth University, Jillian McGraw – University of Virginia, Rebecca Perini – Washington &amp; Lee University, Adrienne Sullivan – George Mason University, Amy Thelk – James Madison University, and Angie Wetzel – Virginia Commonwealth University</w:t>
      </w:r>
    </w:p>
    <w:p w14:paraId="0B1C8623" w14:textId="77777777" w:rsidR="000E307E" w:rsidRDefault="00650EDC">
      <w:pPr>
        <w:pStyle w:val="BodyText"/>
      </w:pPr>
      <w:r>
        <w:rPr>
          <w:b/>
          <w:bCs/>
        </w:rPr>
        <w:t>Data Collection Process</w:t>
      </w:r>
    </w:p>
    <w:p w14:paraId="0B1C8624" w14:textId="77777777" w:rsidR="000E307E" w:rsidRDefault="00650EDC">
      <w:pPr>
        <w:pStyle w:val="BodyText"/>
      </w:pPr>
      <w:r>
        <w:t>VEAC partners submitted contact information for program completers and their employers to VEAC in February 2025. Initial recruitment for the survey began in March 2025 and was open with reminders through May 2025.</w:t>
      </w:r>
    </w:p>
    <w:p w14:paraId="0B1C8625" w14:textId="77777777" w:rsidR="000E307E" w:rsidRDefault="00650EDC">
      <w:pPr>
        <w:pStyle w:val="BodyText"/>
      </w:pPr>
      <w:r>
        <w:rPr>
          <w:b/>
          <w:bCs/>
        </w:rPr>
        <w:t>Survey Response Rates</w:t>
      </w:r>
    </w:p>
    <w:p w14:paraId="0B1C8626" w14:textId="77777777" w:rsidR="000E307E" w:rsidRDefault="00650EDC">
      <w:pPr>
        <w:pStyle w:val="BodyText"/>
      </w:pPr>
      <w:r>
        <w:t>For our 2024-2025 initial licensure cycle, VEAC fielded the Initial Licensure Employer Survey to program completers’ employers from 32 EPP partners.</w:t>
      </w:r>
    </w:p>
    <w:p w14:paraId="0B1C8627" w14:textId="77777777" w:rsidR="000E307E" w:rsidRDefault="00650EDC">
      <w:pPr>
        <w:pStyle w:val="BodyText"/>
      </w:pPr>
      <w:r>
        <w:t>Upon closing the survey in May 2025 , VEAC collected complete and partial responses resulting in a 34% response rate.</w:t>
      </w:r>
    </w:p>
    <w:p w14:paraId="0B1C8628" w14:textId="77777777" w:rsidR="000E307E" w:rsidRDefault="00650EDC">
      <w:pPr>
        <w:pStyle w:val="BodyText"/>
      </w:pPr>
      <w:r>
        <w:t>VEAC provides EPP partners access to a responsive dashboard to view holistic data from the 2024-2025 VEAC cycle. Further, the dashboard supports benchmark reference points through interactive data disaggregation by relevant EPP characteristics (e.g., EPP Size, EPP Type (public/private), Endorsement Level, etc.). Access the VEAC Employer survey dashboard at www.projectveac.org.</w:t>
      </w:r>
    </w:p>
    <w:p w14:paraId="22835527" w14:textId="77777777" w:rsidR="004E154E" w:rsidRDefault="004E154E" w:rsidP="004E154E">
      <w:pPr>
        <w:pStyle w:val="BodyText"/>
      </w:pPr>
      <w:bookmarkStart w:id="0" w:name="employer-survey-report"/>
      <w:r>
        <w:t>EPPs can find responses to the open-ended response question and a response rate table by EPP in their shared Box folder.</w:t>
      </w:r>
    </w:p>
    <w:p w14:paraId="0B1C862A" w14:textId="77777777" w:rsidR="000E307E" w:rsidRDefault="00650EDC">
      <w:pPr>
        <w:pStyle w:val="Heading2"/>
      </w:pPr>
      <w:r>
        <w:lastRenderedPageBreak/>
        <w:t>Employer Survey Report</w:t>
      </w:r>
    </w:p>
    <w:p w14:paraId="0B1C862C" w14:textId="77777777" w:rsidR="000E307E" w:rsidRDefault="00650EDC">
      <w:pPr>
        <w:pStyle w:val="TableCaption"/>
      </w:pPr>
      <w:r>
        <w:t>VEAC Employer Survey 2025</w:t>
      </w:r>
    </w:p>
    <w:tbl>
      <w:tblPr>
        <w:tblStyle w:val="Table"/>
        <w:tblW w:w="0" w:type="auto"/>
        <w:tblLook w:val="0020" w:firstRow="1" w:lastRow="0" w:firstColumn="0" w:lastColumn="0" w:noHBand="0" w:noVBand="0"/>
      </w:tblPr>
      <w:tblGrid>
        <w:gridCol w:w="565"/>
        <w:gridCol w:w="1983"/>
        <w:gridCol w:w="970"/>
        <w:gridCol w:w="796"/>
        <w:gridCol w:w="799"/>
        <w:gridCol w:w="799"/>
        <w:gridCol w:w="798"/>
        <w:gridCol w:w="793"/>
        <w:gridCol w:w="671"/>
        <w:gridCol w:w="627"/>
        <w:gridCol w:w="775"/>
      </w:tblGrid>
      <w:tr w:rsidR="000E307E" w14:paraId="0B1C8638" w14:textId="77777777" w:rsidTr="00650EDC">
        <w:trPr>
          <w:cnfStyle w:val="100000000000" w:firstRow="1" w:lastRow="0" w:firstColumn="0" w:lastColumn="0" w:oddVBand="0" w:evenVBand="0" w:oddHBand="0" w:evenHBand="0" w:firstRowFirstColumn="0" w:firstRowLastColumn="0" w:lastRowFirstColumn="0" w:lastRowLastColumn="0"/>
          <w:tblHeader/>
        </w:trPr>
        <w:tc>
          <w:tcPr>
            <w:tcW w:w="0" w:type="auto"/>
          </w:tcPr>
          <w:p w14:paraId="0B1C862D" w14:textId="77777777" w:rsidR="000E307E" w:rsidRDefault="000E307E">
            <w:pPr>
              <w:pStyle w:val="Compact"/>
            </w:pPr>
          </w:p>
        </w:tc>
        <w:tc>
          <w:tcPr>
            <w:tcW w:w="0" w:type="auto"/>
          </w:tcPr>
          <w:p w14:paraId="0B1C862E" w14:textId="77777777" w:rsidR="000E307E" w:rsidRDefault="00650EDC">
            <w:pPr>
              <w:pStyle w:val="Compact"/>
            </w:pPr>
            <w:r>
              <w:t>VEAC Item</w:t>
            </w:r>
          </w:p>
        </w:tc>
        <w:tc>
          <w:tcPr>
            <w:tcW w:w="0" w:type="auto"/>
          </w:tcPr>
          <w:p w14:paraId="0B1C862F" w14:textId="77777777" w:rsidR="000E307E" w:rsidRDefault="00650EDC">
            <w:pPr>
              <w:pStyle w:val="Compact"/>
            </w:pPr>
            <w:r>
              <w:t>InTASC</w:t>
            </w:r>
          </w:p>
        </w:tc>
        <w:tc>
          <w:tcPr>
            <w:tcW w:w="0" w:type="auto"/>
          </w:tcPr>
          <w:p w14:paraId="0B1C8630" w14:textId="77777777" w:rsidR="000E307E" w:rsidRDefault="00650EDC">
            <w:pPr>
              <w:pStyle w:val="Compact"/>
            </w:pPr>
            <w:r>
              <w:t>VUPS 2021</w:t>
            </w:r>
          </w:p>
        </w:tc>
        <w:tc>
          <w:tcPr>
            <w:tcW w:w="0" w:type="auto"/>
          </w:tcPr>
          <w:p w14:paraId="0B1C8631" w14:textId="77777777" w:rsidR="000E307E" w:rsidRDefault="00650EDC">
            <w:pPr>
              <w:pStyle w:val="Compact"/>
              <w:jc w:val="right"/>
            </w:pPr>
            <w:r>
              <w:t>VEAC Mean</w:t>
            </w:r>
          </w:p>
        </w:tc>
        <w:tc>
          <w:tcPr>
            <w:tcW w:w="0" w:type="auto"/>
          </w:tcPr>
          <w:p w14:paraId="0B1C8632" w14:textId="77777777" w:rsidR="000E307E" w:rsidRDefault="00650EDC">
            <w:pPr>
              <w:pStyle w:val="Compact"/>
              <w:jc w:val="right"/>
            </w:pPr>
            <w:r>
              <w:t>VEAC SD</w:t>
            </w:r>
          </w:p>
        </w:tc>
        <w:tc>
          <w:tcPr>
            <w:tcW w:w="0" w:type="auto"/>
          </w:tcPr>
          <w:p w14:paraId="0B1C8633" w14:textId="77777777" w:rsidR="000E307E" w:rsidRDefault="00650EDC">
            <w:pPr>
              <w:pStyle w:val="Compact"/>
              <w:jc w:val="right"/>
            </w:pPr>
            <w:r>
              <w:t>VEAC N</w:t>
            </w:r>
          </w:p>
        </w:tc>
        <w:tc>
          <w:tcPr>
            <w:tcW w:w="0" w:type="auto"/>
          </w:tcPr>
          <w:p w14:paraId="0B1C8634" w14:textId="77777777" w:rsidR="000E307E" w:rsidRDefault="00650EDC">
            <w:pPr>
              <w:pStyle w:val="Compact"/>
              <w:jc w:val="right"/>
            </w:pPr>
            <w:r>
              <w:t>EPP Mean</w:t>
            </w:r>
          </w:p>
        </w:tc>
        <w:tc>
          <w:tcPr>
            <w:tcW w:w="0" w:type="auto"/>
          </w:tcPr>
          <w:p w14:paraId="0B1C8635" w14:textId="77777777" w:rsidR="000E307E" w:rsidRDefault="00650EDC">
            <w:pPr>
              <w:pStyle w:val="Compact"/>
              <w:jc w:val="right"/>
            </w:pPr>
            <w:r>
              <w:t>EPP SD</w:t>
            </w:r>
          </w:p>
        </w:tc>
        <w:tc>
          <w:tcPr>
            <w:tcW w:w="0" w:type="auto"/>
          </w:tcPr>
          <w:p w14:paraId="0B1C8636" w14:textId="77777777" w:rsidR="000E307E" w:rsidRDefault="00650EDC">
            <w:pPr>
              <w:pStyle w:val="Compact"/>
              <w:jc w:val="right"/>
            </w:pPr>
            <w:r>
              <w:t>EPP N</w:t>
            </w:r>
          </w:p>
        </w:tc>
        <w:tc>
          <w:tcPr>
            <w:tcW w:w="0" w:type="auto"/>
          </w:tcPr>
          <w:p w14:paraId="0B1C8637" w14:textId="77777777" w:rsidR="000E307E" w:rsidRDefault="00650EDC">
            <w:pPr>
              <w:pStyle w:val="Compact"/>
              <w:jc w:val="right"/>
            </w:pPr>
            <w:r>
              <w:t>P value</w:t>
            </w:r>
          </w:p>
        </w:tc>
      </w:tr>
      <w:tr w:rsidR="000E307E" w14:paraId="0B1C8644" w14:textId="77777777" w:rsidTr="00650EDC">
        <w:tc>
          <w:tcPr>
            <w:tcW w:w="0" w:type="auto"/>
          </w:tcPr>
          <w:p w14:paraId="0B1C8639" w14:textId="77777777" w:rsidR="000E307E" w:rsidRDefault="00650EDC">
            <w:pPr>
              <w:pStyle w:val="Compact"/>
            </w:pPr>
            <w:r>
              <w:t>IA</w:t>
            </w:r>
          </w:p>
        </w:tc>
        <w:tc>
          <w:tcPr>
            <w:tcW w:w="0" w:type="auto"/>
          </w:tcPr>
          <w:p w14:paraId="0B1C863A" w14:textId="77777777" w:rsidR="000E307E" w:rsidRDefault="00650EDC">
            <w:pPr>
              <w:pStyle w:val="Compact"/>
            </w:pPr>
            <w:r>
              <w:t>Demonstrates an understanding of the curriculum, subject content, and the developmental needs of students by providing relevant learning experiences.</w:t>
            </w:r>
          </w:p>
        </w:tc>
        <w:tc>
          <w:tcPr>
            <w:tcW w:w="0" w:type="auto"/>
          </w:tcPr>
          <w:p w14:paraId="0B1C863B" w14:textId="77777777" w:rsidR="000E307E" w:rsidRDefault="00650EDC">
            <w:pPr>
              <w:pStyle w:val="Compact"/>
            </w:pPr>
            <w:r>
              <w:t>1,2,4</w:t>
            </w:r>
          </w:p>
        </w:tc>
        <w:tc>
          <w:tcPr>
            <w:tcW w:w="0" w:type="auto"/>
          </w:tcPr>
          <w:p w14:paraId="0B1C863C" w14:textId="77777777" w:rsidR="000E307E" w:rsidRDefault="00650EDC">
            <w:pPr>
              <w:pStyle w:val="Compact"/>
            </w:pPr>
            <w:r>
              <w:t>1</w:t>
            </w:r>
          </w:p>
        </w:tc>
        <w:tc>
          <w:tcPr>
            <w:tcW w:w="0" w:type="auto"/>
          </w:tcPr>
          <w:p w14:paraId="0B1C863D" w14:textId="77777777" w:rsidR="000E307E" w:rsidRDefault="00650EDC">
            <w:pPr>
              <w:pStyle w:val="Compact"/>
              <w:jc w:val="right"/>
            </w:pPr>
            <w:r>
              <w:t>3.33</w:t>
            </w:r>
          </w:p>
        </w:tc>
        <w:tc>
          <w:tcPr>
            <w:tcW w:w="0" w:type="auto"/>
          </w:tcPr>
          <w:p w14:paraId="0B1C863E" w14:textId="77777777" w:rsidR="000E307E" w:rsidRDefault="00650EDC">
            <w:pPr>
              <w:pStyle w:val="Compact"/>
              <w:jc w:val="right"/>
            </w:pPr>
            <w:r>
              <w:t>0.61</w:t>
            </w:r>
          </w:p>
        </w:tc>
        <w:tc>
          <w:tcPr>
            <w:tcW w:w="0" w:type="auto"/>
          </w:tcPr>
          <w:p w14:paraId="0B1C863F" w14:textId="77777777" w:rsidR="000E307E" w:rsidRDefault="00650EDC">
            <w:pPr>
              <w:pStyle w:val="Compact"/>
              <w:jc w:val="right"/>
            </w:pPr>
            <w:r>
              <w:t>1369</w:t>
            </w:r>
          </w:p>
        </w:tc>
        <w:tc>
          <w:tcPr>
            <w:tcW w:w="0" w:type="auto"/>
          </w:tcPr>
          <w:p w14:paraId="0B1C8640" w14:textId="77777777" w:rsidR="000E307E" w:rsidRDefault="00650EDC">
            <w:pPr>
              <w:pStyle w:val="Compact"/>
              <w:jc w:val="right"/>
            </w:pPr>
            <w:r>
              <w:t>3.40</w:t>
            </w:r>
          </w:p>
        </w:tc>
        <w:tc>
          <w:tcPr>
            <w:tcW w:w="0" w:type="auto"/>
          </w:tcPr>
          <w:p w14:paraId="0B1C8641" w14:textId="77777777" w:rsidR="000E307E" w:rsidRDefault="00650EDC">
            <w:pPr>
              <w:pStyle w:val="Compact"/>
              <w:jc w:val="right"/>
            </w:pPr>
            <w:r>
              <w:t>0.66</w:t>
            </w:r>
          </w:p>
        </w:tc>
        <w:tc>
          <w:tcPr>
            <w:tcW w:w="0" w:type="auto"/>
          </w:tcPr>
          <w:p w14:paraId="0B1C8642" w14:textId="77777777" w:rsidR="000E307E" w:rsidRDefault="00650EDC">
            <w:pPr>
              <w:pStyle w:val="Compact"/>
              <w:jc w:val="right"/>
            </w:pPr>
            <w:r>
              <w:t>53</w:t>
            </w:r>
          </w:p>
        </w:tc>
        <w:tc>
          <w:tcPr>
            <w:tcW w:w="0" w:type="auto"/>
          </w:tcPr>
          <w:p w14:paraId="0B1C8643" w14:textId="77777777" w:rsidR="000E307E" w:rsidRDefault="00650EDC">
            <w:pPr>
              <w:pStyle w:val="Compact"/>
              <w:jc w:val="right"/>
            </w:pPr>
            <w:r>
              <w:t>0.44</w:t>
            </w:r>
          </w:p>
        </w:tc>
      </w:tr>
      <w:tr w:rsidR="000E307E" w14:paraId="0B1C8650" w14:textId="77777777" w:rsidTr="00650EDC">
        <w:tc>
          <w:tcPr>
            <w:tcW w:w="0" w:type="auto"/>
          </w:tcPr>
          <w:p w14:paraId="0B1C8645" w14:textId="77777777" w:rsidR="000E307E" w:rsidRDefault="00650EDC">
            <w:pPr>
              <w:pStyle w:val="Compact"/>
            </w:pPr>
            <w:r>
              <w:t>IB</w:t>
            </w:r>
          </w:p>
        </w:tc>
        <w:tc>
          <w:tcPr>
            <w:tcW w:w="0" w:type="auto"/>
          </w:tcPr>
          <w:p w14:paraId="0B1C8646" w14:textId="77777777" w:rsidR="000E307E" w:rsidRDefault="00650EDC">
            <w:pPr>
              <w:pStyle w:val="Compact"/>
            </w:pPr>
            <w:r>
              <w:t>Plans using state standards, the school’s curriculum, engaging and research-based strategies and resources, and data to meet the needs of all students.</w:t>
            </w:r>
          </w:p>
        </w:tc>
        <w:tc>
          <w:tcPr>
            <w:tcW w:w="0" w:type="auto"/>
          </w:tcPr>
          <w:p w14:paraId="0B1C8647" w14:textId="77777777" w:rsidR="000E307E" w:rsidRDefault="00650EDC">
            <w:pPr>
              <w:pStyle w:val="Compact"/>
            </w:pPr>
            <w:r>
              <w:t>1,2,7,8</w:t>
            </w:r>
          </w:p>
        </w:tc>
        <w:tc>
          <w:tcPr>
            <w:tcW w:w="0" w:type="auto"/>
          </w:tcPr>
          <w:p w14:paraId="0B1C8648" w14:textId="77777777" w:rsidR="000E307E" w:rsidRDefault="00650EDC">
            <w:pPr>
              <w:pStyle w:val="Compact"/>
            </w:pPr>
            <w:r>
              <w:t>2</w:t>
            </w:r>
          </w:p>
        </w:tc>
        <w:tc>
          <w:tcPr>
            <w:tcW w:w="0" w:type="auto"/>
          </w:tcPr>
          <w:p w14:paraId="0B1C8649" w14:textId="77777777" w:rsidR="000E307E" w:rsidRDefault="00650EDC">
            <w:pPr>
              <w:pStyle w:val="Compact"/>
              <w:jc w:val="right"/>
            </w:pPr>
            <w:r>
              <w:t>3.31</w:t>
            </w:r>
          </w:p>
        </w:tc>
        <w:tc>
          <w:tcPr>
            <w:tcW w:w="0" w:type="auto"/>
          </w:tcPr>
          <w:p w14:paraId="0B1C864A" w14:textId="77777777" w:rsidR="000E307E" w:rsidRDefault="00650EDC">
            <w:pPr>
              <w:pStyle w:val="Compact"/>
              <w:jc w:val="right"/>
            </w:pPr>
            <w:r>
              <w:t>0.62</w:t>
            </w:r>
          </w:p>
        </w:tc>
        <w:tc>
          <w:tcPr>
            <w:tcW w:w="0" w:type="auto"/>
          </w:tcPr>
          <w:p w14:paraId="0B1C864B" w14:textId="77777777" w:rsidR="000E307E" w:rsidRDefault="00650EDC">
            <w:pPr>
              <w:pStyle w:val="Compact"/>
              <w:jc w:val="right"/>
            </w:pPr>
            <w:r>
              <w:t>1362</w:t>
            </w:r>
          </w:p>
        </w:tc>
        <w:tc>
          <w:tcPr>
            <w:tcW w:w="0" w:type="auto"/>
          </w:tcPr>
          <w:p w14:paraId="0B1C864C" w14:textId="77777777" w:rsidR="000E307E" w:rsidRDefault="00650EDC">
            <w:pPr>
              <w:pStyle w:val="Compact"/>
              <w:jc w:val="right"/>
            </w:pPr>
            <w:r>
              <w:t>3.42</w:t>
            </w:r>
          </w:p>
        </w:tc>
        <w:tc>
          <w:tcPr>
            <w:tcW w:w="0" w:type="auto"/>
          </w:tcPr>
          <w:p w14:paraId="0B1C864D" w14:textId="77777777" w:rsidR="000E307E" w:rsidRDefault="00650EDC">
            <w:pPr>
              <w:pStyle w:val="Compact"/>
              <w:jc w:val="right"/>
            </w:pPr>
            <w:r>
              <w:t>0.60</w:t>
            </w:r>
          </w:p>
        </w:tc>
        <w:tc>
          <w:tcPr>
            <w:tcW w:w="0" w:type="auto"/>
          </w:tcPr>
          <w:p w14:paraId="0B1C864E" w14:textId="77777777" w:rsidR="000E307E" w:rsidRDefault="00650EDC">
            <w:pPr>
              <w:pStyle w:val="Compact"/>
              <w:jc w:val="right"/>
            </w:pPr>
            <w:r>
              <w:t>53</w:t>
            </w:r>
          </w:p>
        </w:tc>
        <w:tc>
          <w:tcPr>
            <w:tcW w:w="0" w:type="auto"/>
          </w:tcPr>
          <w:p w14:paraId="0B1C864F" w14:textId="77777777" w:rsidR="000E307E" w:rsidRDefault="00650EDC">
            <w:pPr>
              <w:pStyle w:val="Compact"/>
              <w:jc w:val="right"/>
            </w:pPr>
            <w:r>
              <w:t>0.21</w:t>
            </w:r>
          </w:p>
        </w:tc>
      </w:tr>
      <w:tr w:rsidR="000E307E" w14:paraId="0B1C865C" w14:textId="77777777" w:rsidTr="00650EDC">
        <w:tc>
          <w:tcPr>
            <w:tcW w:w="0" w:type="auto"/>
          </w:tcPr>
          <w:p w14:paraId="0B1C8651" w14:textId="77777777" w:rsidR="000E307E" w:rsidRDefault="00650EDC">
            <w:pPr>
              <w:pStyle w:val="Compact"/>
            </w:pPr>
            <w:r>
              <w:t>IC</w:t>
            </w:r>
          </w:p>
        </w:tc>
        <w:tc>
          <w:tcPr>
            <w:tcW w:w="0" w:type="auto"/>
          </w:tcPr>
          <w:p w14:paraId="0B1C8652" w14:textId="77777777" w:rsidR="000E307E" w:rsidRDefault="00650EDC">
            <w:pPr>
              <w:pStyle w:val="Compact"/>
            </w:pPr>
            <w:r>
              <w:t>Effectively engages students in learning by using a variety of research-based instructional strategies in order to meet individual learning needs.</w:t>
            </w:r>
          </w:p>
        </w:tc>
        <w:tc>
          <w:tcPr>
            <w:tcW w:w="0" w:type="auto"/>
          </w:tcPr>
          <w:p w14:paraId="0B1C8653" w14:textId="77777777" w:rsidR="000E307E" w:rsidRDefault="00650EDC">
            <w:pPr>
              <w:pStyle w:val="Compact"/>
            </w:pPr>
            <w:r>
              <w:t>1,2,8</w:t>
            </w:r>
          </w:p>
        </w:tc>
        <w:tc>
          <w:tcPr>
            <w:tcW w:w="0" w:type="auto"/>
          </w:tcPr>
          <w:p w14:paraId="0B1C8654" w14:textId="77777777" w:rsidR="000E307E" w:rsidRDefault="00650EDC">
            <w:pPr>
              <w:pStyle w:val="Compact"/>
            </w:pPr>
            <w:r>
              <w:t>3</w:t>
            </w:r>
          </w:p>
        </w:tc>
        <w:tc>
          <w:tcPr>
            <w:tcW w:w="0" w:type="auto"/>
          </w:tcPr>
          <w:p w14:paraId="0B1C8655" w14:textId="77777777" w:rsidR="000E307E" w:rsidRDefault="00650EDC">
            <w:pPr>
              <w:pStyle w:val="Compact"/>
              <w:jc w:val="right"/>
            </w:pPr>
            <w:r>
              <w:t>3.27</w:t>
            </w:r>
          </w:p>
        </w:tc>
        <w:tc>
          <w:tcPr>
            <w:tcW w:w="0" w:type="auto"/>
          </w:tcPr>
          <w:p w14:paraId="0B1C8656" w14:textId="77777777" w:rsidR="000E307E" w:rsidRDefault="00650EDC">
            <w:pPr>
              <w:pStyle w:val="Compact"/>
              <w:jc w:val="right"/>
            </w:pPr>
            <w:r>
              <w:t>0.68</w:t>
            </w:r>
          </w:p>
        </w:tc>
        <w:tc>
          <w:tcPr>
            <w:tcW w:w="0" w:type="auto"/>
          </w:tcPr>
          <w:p w14:paraId="0B1C8657" w14:textId="77777777" w:rsidR="000E307E" w:rsidRDefault="00650EDC">
            <w:pPr>
              <w:pStyle w:val="Compact"/>
              <w:jc w:val="right"/>
            </w:pPr>
            <w:r>
              <w:t>1368</w:t>
            </w:r>
          </w:p>
        </w:tc>
        <w:tc>
          <w:tcPr>
            <w:tcW w:w="0" w:type="auto"/>
          </w:tcPr>
          <w:p w14:paraId="0B1C8658" w14:textId="77777777" w:rsidR="000E307E" w:rsidRDefault="00650EDC">
            <w:pPr>
              <w:pStyle w:val="Compact"/>
              <w:jc w:val="right"/>
            </w:pPr>
            <w:r>
              <w:t>3.32</w:t>
            </w:r>
          </w:p>
        </w:tc>
        <w:tc>
          <w:tcPr>
            <w:tcW w:w="0" w:type="auto"/>
          </w:tcPr>
          <w:p w14:paraId="0B1C8659" w14:textId="77777777" w:rsidR="000E307E" w:rsidRDefault="00650EDC">
            <w:pPr>
              <w:pStyle w:val="Compact"/>
              <w:jc w:val="right"/>
            </w:pPr>
            <w:r>
              <w:t>0.64</w:t>
            </w:r>
          </w:p>
        </w:tc>
        <w:tc>
          <w:tcPr>
            <w:tcW w:w="0" w:type="auto"/>
          </w:tcPr>
          <w:p w14:paraId="0B1C865A" w14:textId="77777777" w:rsidR="000E307E" w:rsidRDefault="00650EDC">
            <w:pPr>
              <w:pStyle w:val="Compact"/>
              <w:jc w:val="right"/>
            </w:pPr>
            <w:r>
              <w:t>53</w:t>
            </w:r>
          </w:p>
        </w:tc>
        <w:tc>
          <w:tcPr>
            <w:tcW w:w="0" w:type="auto"/>
          </w:tcPr>
          <w:p w14:paraId="0B1C865B" w14:textId="77777777" w:rsidR="000E307E" w:rsidRDefault="00650EDC">
            <w:pPr>
              <w:pStyle w:val="Compact"/>
              <w:jc w:val="right"/>
            </w:pPr>
            <w:r>
              <w:t>0.54</w:t>
            </w:r>
          </w:p>
        </w:tc>
      </w:tr>
      <w:tr w:rsidR="000E307E" w14:paraId="0B1C8668" w14:textId="77777777" w:rsidTr="00650EDC">
        <w:tc>
          <w:tcPr>
            <w:tcW w:w="0" w:type="auto"/>
          </w:tcPr>
          <w:p w14:paraId="0B1C865D" w14:textId="77777777" w:rsidR="000E307E" w:rsidRDefault="00650EDC">
            <w:pPr>
              <w:pStyle w:val="Compact"/>
            </w:pPr>
            <w:r>
              <w:t>ID</w:t>
            </w:r>
          </w:p>
        </w:tc>
        <w:tc>
          <w:tcPr>
            <w:tcW w:w="0" w:type="auto"/>
          </w:tcPr>
          <w:p w14:paraId="0B1C865E" w14:textId="77777777" w:rsidR="000E307E" w:rsidRDefault="00650EDC">
            <w:pPr>
              <w:pStyle w:val="Compact"/>
            </w:pPr>
            <w:r>
              <w:t xml:space="preserve">Systematically gathers, analyzes, and uses all relevant </w:t>
            </w:r>
            <w:r>
              <w:lastRenderedPageBreak/>
              <w:t>data to measure student academic progress, guide instructional content and delivery methods, and provide timely feedback to students, caregivers, and other educators.</w:t>
            </w:r>
          </w:p>
        </w:tc>
        <w:tc>
          <w:tcPr>
            <w:tcW w:w="0" w:type="auto"/>
          </w:tcPr>
          <w:p w14:paraId="0B1C865F" w14:textId="77777777" w:rsidR="000E307E" w:rsidRDefault="00650EDC">
            <w:pPr>
              <w:pStyle w:val="Compact"/>
            </w:pPr>
            <w:r>
              <w:lastRenderedPageBreak/>
              <w:t>6,10</w:t>
            </w:r>
          </w:p>
        </w:tc>
        <w:tc>
          <w:tcPr>
            <w:tcW w:w="0" w:type="auto"/>
          </w:tcPr>
          <w:p w14:paraId="0B1C8660" w14:textId="77777777" w:rsidR="000E307E" w:rsidRDefault="00650EDC">
            <w:pPr>
              <w:pStyle w:val="Compact"/>
            </w:pPr>
            <w:r>
              <w:t>4,8</w:t>
            </w:r>
          </w:p>
        </w:tc>
        <w:tc>
          <w:tcPr>
            <w:tcW w:w="0" w:type="auto"/>
          </w:tcPr>
          <w:p w14:paraId="0B1C8661" w14:textId="77777777" w:rsidR="000E307E" w:rsidRDefault="00650EDC">
            <w:pPr>
              <w:pStyle w:val="Compact"/>
              <w:jc w:val="right"/>
            </w:pPr>
            <w:r>
              <w:t>3.22</w:t>
            </w:r>
          </w:p>
        </w:tc>
        <w:tc>
          <w:tcPr>
            <w:tcW w:w="0" w:type="auto"/>
          </w:tcPr>
          <w:p w14:paraId="0B1C8662" w14:textId="77777777" w:rsidR="000E307E" w:rsidRDefault="00650EDC">
            <w:pPr>
              <w:pStyle w:val="Compact"/>
              <w:jc w:val="right"/>
            </w:pPr>
            <w:r>
              <w:t>0.66</w:t>
            </w:r>
          </w:p>
        </w:tc>
        <w:tc>
          <w:tcPr>
            <w:tcW w:w="0" w:type="auto"/>
          </w:tcPr>
          <w:p w14:paraId="0B1C8663" w14:textId="77777777" w:rsidR="000E307E" w:rsidRDefault="00650EDC">
            <w:pPr>
              <w:pStyle w:val="Compact"/>
              <w:jc w:val="right"/>
            </w:pPr>
            <w:r>
              <w:t>1359</w:t>
            </w:r>
          </w:p>
        </w:tc>
        <w:tc>
          <w:tcPr>
            <w:tcW w:w="0" w:type="auto"/>
          </w:tcPr>
          <w:p w14:paraId="0B1C8664" w14:textId="77777777" w:rsidR="000E307E" w:rsidRDefault="00650EDC">
            <w:pPr>
              <w:pStyle w:val="Compact"/>
              <w:jc w:val="right"/>
            </w:pPr>
            <w:r>
              <w:t>3.25</w:t>
            </w:r>
          </w:p>
        </w:tc>
        <w:tc>
          <w:tcPr>
            <w:tcW w:w="0" w:type="auto"/>
          </w:tcPr>
          <w:p w14:paraId="0B1C8665" w14:textId="77777777" w:rsidR="000E307E" w:rsidRDefault="00650EDC">
            <w:pPr>
              <w:pStyle w:val="Compact"/>
              <w:jc w:val="right"/>
            </w:pPr>
            <w:r>
              <w:t>0.77</w:t>
            </w:r>
          </w:p>
        </w:tc>
        <w:tc>
          <w:tcPr>
            <w:tcW w:w="0" w:type="auto"/>
          </w:tcPr>
          <w:p w14:paraId="0B1C8666" w14:textId="77777777" w:rsidR="000E307E" w:rsidRDefault="00650EDC">
            <w:pPr>
              <w:pStyle w:val="Compact"/>
              <w:jc w:val="right"/>
            </w:pPr>
            <w:r>
              <w:t>51</w:t>
            </w:r>
          </w:p>
        </w:tc>
        <w:tc>
          <w:tcPr>
            <w:tcW w:w="0" w:type="auto"/>
          </w:tcPr>
          <w:p w14:paraId="0B1C8667" w14:textId="77777777" w:rsidR="000E307E" w:rsidRDefault="00650EDC">
            <w:pPr>
              <w:pStyle w:val="Compact"/>
              <w:jc w:val="right"/>
            </w:pPr>
            <w:r>
              <w:t>0.71</w:t>
            </w:r>
          </w:p>
        </w:tc>
      </w:tr>
      <w:tr w:rsidR="000E307E" w14:paraId="0B1C8674" w14:textId="77777777" w:rsidTr="00650EDC">
        <w:tc>
          <w:tcPr>
            <w:tcW w:w="0" w:type="auto"/>
          </w:tcPr>
          <w:p w14:paraId="0B1C8669" w14:textId="77777777" w:rsidR="000E307E" w:rsidRDefault="00650EDC">
            <w:pPr>
              <w:pStyle w:val="Compact"/>
            </w:pPr>
            <w:r>
              <w:t>IE</w:t>
            </w:r>
          </w:p>
        </w:tc>
        <w:tc>
          <w:tcPr>
            <w:tcW w:w="0" w:type="auto"/>
          </w:tcPr>
          <w:p w14:paraId="0B1C866A" w14:textId="77777777" w:rsidR="000E307E" w:rsidRDefault="00650EDC">
            <w:pPr>
              <w:pStyle w:val="Compact"/>
            </w:pPr>
            <w:r>
              <w:t>Uses resources, routines, and procedures to provide a respectful, positive, safe, student-centered environment that is conducive to learning.</w:t>
            </w:r>
          </w:p>
        </w:tc>
        <w:tc>
          <w:tcPr>
            <w:tcW w:w="0" w:type="auto"/>
          </w:tcPr>
          <w:p w14:paraId="0B1C866B" w14:textId="77777777" w:rsidR="000E307E" w:rsidRDefault="00650EDC">
            <w:pPr>
              <w:pStyle w:val="Compact"/>
            </w:pPr>
            <w:r>
              <w:t>3</w:t>
            </w:r>
          </w:p>
        </w:tc>
        <w:tc>
          <w:tcPr>
            <w:tcW w:w="0" w:type="auto"/>
          </w:tcPr>
          <w:p w14:paraId="0B1C866C" w14:textId="77777777" w:rsidR="000E307E" w:rsidRDefault="00650EDC">
            <w:pPr>
              <w:pStyle w:val="Compact"/>
            </w:pPr>
            <w:r>
              <w:t>5</w:t>
            </w:r>
          </w:p>
        </w:tc>
        <w:tc>
          <w:tcPr>
            <w:tcW w:w="0" w:type="auto"/>
          </w:tcPr>
          <w:p w14:paraId="0B1C866D" w14:textId="77777777" w:rsidR="000E307E" w:rsidRDefault="00650EDC">
            <w:pPr>
              <w:pStyle w:val="Compact"/>
              <w:jc w:val="right"/>
            </w:pPr>
            <w:r>
              <w:t>3.36</w:t>
            </w:r>
          </w:p>
        </w:tc>
        <w:tc>
          <w:tcPr>
            <w:tcW w:w="0" w:type="auto"/>
          </w:tcPr>
          <w:p w14:paraId="0B1C866E" w14:textId="77777777" w:rsidR="000E307E" w:rsidRDefault="00650EDC">
            <w:pPr>
              <w:pStyle w:val="Compact"/>
              <w:jc w:val="right"/>
            </w:pPr>
            <w:r>
              <w:t>0.68</w:t>
            </w:r>
          </w:p>
        </w:tc>
        <w:tc>
          <w:tcPr>
            <w:tcW w:w="0" w:type="auto"/>
          </w:tcPr>
          <w:p w14:paraId="0B1C866F" w14:textId="77777777" w:rsidR="000E307E" w:rsidRDefault="00650EDC">
            <w:pPr>
              <w:pStyle w:val="Compact"/>
              <w:jc w:val="right"/>
            </w:pPr>
            <w:r>
              <w:t>1370</w:t>
            </w:r>
          </w:p>
        </w:tc>
        <w:tc>
          <w:tcPr>
            <w:tcW w:w="0" w:type="auto"/>
          </w:tcPr>
          <w:p w14:paraId="0B1C8670" w14:textId="77777777" w:rsidR="000E307E" w:rsidRDefault="00650EDC">
            <w:pPr>
              <w:pStyle w:val="Compact"/>
              <w:jc w:val="right"/>
            </w:pPr>
            <w:r>
              <w:t>3.51</w:t>
            </w:r>
          </w:p>
        </w:tc>
        <w:tc>
          <w:tcPr>
            <w:tcW w:w="0" w:type="auto"/>
          </w:tcPr>
          <w:p w14:paraId="0B1C8671" w14:textId="77777777" w:rsidR="000E307E" w:rsidRDefault="00650EDC">
            <w:pPr>
              <w:pStyle w:val="Compact"/>
              <w:jc w:val="right"/>
            </w:pPr>
            <w:r>
              <w:t>0.75</w:t>
            </w:r>
          </w:p>
        </w:tc>
        <w:tc>
          <w:tcPr>
            <w:tcW w:w="0" w:type="auto"/>
          </w:tcPr>
          <w:p w14:paraId="0B1C8672" w14:textId="77777777" w:rsidR="000E307E" w:rsidRDefault="00650EDC">
            <w:pPr>
              <w:pStyle w:val="Compact"/>
              <w:jc w:val="right"/>
            </w:pPr>
            <w:r>
              <w:t>53</w:t>
            </w:r>
          </w:p>
        </w:tc>
        <w:tc>
          <w:tcPr>
            <w:tcW w:w="0" w:type="auto"/>
          </w:tcPr>
          <w:p w14:paraId="0B1C8673" w14:textId="77777777" w:rsidR="000E307E" w:rsidRDefault="00650EDC">
            <w:pPr>
              <w:pStyle w:val="Compact"/>
              <w:jc w:val="right"/>
            </w:pPr>
            <w:r>
              <w:t>0.15</w:t>
            </w:r>
          </w:p>
        </w:tc>
      </w:tr>
      <w:tr w:rsidR="000E307E" w14:paraId="0B1C8680" w14:textId="77777777" w:rsidTr="00650EDC">
        <w:tc>
          <w:tcPr>
            <w:tcW w:w="0" w:type="auto"/>
          </w:tcPr>
          <w:p w14:paraId="0B1C8675" w14:textId="77777777" w:rsidR="000E307E" w:rsidRDefault="00650EDC">
            <w:pPr>
              <w:pStyle w:val="Compact"/>
            </w:pPr>
            <w:r>
              <w:t>IF</w:t>
            </w:r>
          </w:p>
        </w:tc>
        <w:tc>
          <w:tcPr>
            <w:tcW w:w="0" w:type="auto"/>
          </w:tcPr>
          <w:p w14:paraId="0B1C8676" w14:textId="77777777" w:rsidR="000E307E" w:rsidRDefault="00650EDC">
            <w:pPr>
              <w:pStyle w:val="Compact"/>
            </w:pPr>
            <w:r>
              <w:t>Maintains a commitment to professional ethics, collaborates and communicates effectively, and takes responsibility for and participates in professional growth that results in enhanced student learning.</w:t>
            </w:r>
          </w:p>
        </w:tc>
        <w:tc>
          <w:tcPr>
            <w:tcW w:w="0" w:type="auto"/>
          </w:tcPr>
          <w:p w14:paraId="0B1C8677" w14:textId="77777777" w:rsidR="000E307E" w:rsidRDefault="00650EDC">
            <w:pPr>
              <w:pStyle w:val="Compact"/>
            </w:pPr>
            <w:r>
              <w:t>1,2,9</w:t>
            </w:r>
          </w:p>
        </w:tc>
        <w:tc>
          <w:tcPr>
            <w:tcW w:w="0" w:type="auto"/>
          </w:tcPr>
          <w:p w14:paraId="0B1C8678" w14:textId="77777777" w:rsidR="000E307E" w:rsidRDefault="00650EDC">
            <w:pPr>
              <w:pStyle w:val="Compact"/>
            </w:pPr>
            <w:r>
              <w:t>7</w:t>
            </w:r>
          </w:p>
        </w:tc>
        <w:tc>
          <w:tcPr>
            <w:tcW w:w="0" w:type="auto"/>
          </w:tcPr>
          <w:p w14:paraId="0B1C8679" w14:textId="77777777" w:rsidR="000E307E" w:rsidRDefault="00650EDC">
            <w:pPr>
              <w:pStyle w:val="Compact"/>
              <w:jc w:val="right"/>
            </w:pPr>
            <w:r>
              <w:t>3.40</w:t>
            </w:r>
          </w:p>
        </w:tc>
        <w:tc>
          <w:tcPr>
            <w:tcW w:w="0" w:type="auto"/>
          </w:tcPr>
          <w:p w14:paraId="0B1C867A" w14:textId="77777777" w:rsidR="000E307E" w:rsidRDefault="00650EDC">
            <w:pPr>
              <w:pStyle w:val="Compact"/>
              <w:jc w:val="right"/>
            </w:pPr>
            <w:r>
              <w:t>0.64</w:t>
            </w:r>
          </w:p>
        </w:tc>
        <w:tc>
          <w:tcPr>
            <w:tcW w:w="0" w:type="auto"/>
          </w:tcPr>
          <w:p w14:paraId="0B1C867B" w14:textId="77777777" w:rsidR="000E307E" w:rsidRDefault="00650EDC">
            <w:pPr>
              <w:pStyle w:val="Compact"/>
              <w:jc w:val="right"/>
            </w:pPr>
            <w:r>
              <w:t>1370</w:t>
            </w:r>
          </w:p>
        </w:tc>
        <w:tc>
          <w:tcPr>
            <w:tcW w:w="0" w:type="auto"/>
          </w:tcPr>
          <w:p w14:paraId="0B1C867C" w14:textId="77777777" w:rsidR="000E307E" w:rsidRDefault="00650EDC">
            <w:pPr>
              <w:pStyle w:val="Compact"/>
              <w:jc w:val="right"/>
            </w:pPr>
            <w:r>
              <w:t>3.58</w:t>
            </w:r>
          </w:p>
        </w:tc>
        <w:tc>
          <w:tcPr>
            <w:tcW w:w="0" w:type="auto"/>
          </w:tcPr>
          <w:p w14:paraId="0B1C867D" w14:textId="77777777" w:rsidR="000E307E" w:rsidRDefault="00650EDC">
            <w:pPr>
              <w:pStyle w:val="Compact"/>
              <w:jc w:val="right"/>
            </w:pPr>
            <w:r>
              <w:t>0.57</w:t>
            </w:r>
          </w:p>
        </w:tc>
        <w:tc>
          <w:tcPr>
            <w:tcW w:w="0" w:type="auto"/>
          </w:tcPr>
          <w:p w14:paraId="0B1C867E" w14:textId="77777777" w:rsidR="000E307E" w:rsidRDefault="00650EDC">
            <w:pPr>
              <w:pStyle w:val="Compact"/>
              <w:jc w:val="right"/>
            </w:pPr>
            <w:r>
              <w:t>53</w:t>
            </w:r>
          </w:p>
        </w:tc>
        <w:tc>
          <w:tcPr>
            <w:tcW w:w="0" w:type="auto"/>
          </w:tcPr>
          <w:p w14:paraId="0B1C867F" w14:textId="77777777" w:rsidR="000E307E" w:rsidRDefault="00650EDC">
            <w:pPr>
              <w:pStyle w:val="Compact"/>
              <w:jc w:val="right"/>
            </w:pPr>
            <w:r>
              <w:t>0.02</w:t>
            </w:r>
          </w:p>
        </w:tc>
      </w:tr>
      <w:tr w:rsidR="000E307E" w14:paraId="0B1C868C" w14:textId="77777777" w:rsidTr="00650EDC">
        <w:tc>
          <w:tcPr>
            <w:tcW w:w="0" w:type="auto"/>
          </w:tcPr>
          <w:p w14:paraId="0B1C8681" w14:textId="77777777" w:rsidR="000E307E" w:rsidRDefault="00650EDC">
            <w:pPr>
              <w:pStyle w:val="Compact"/>
            </w:pPr>
            <w:r>
              <w:t>IG</w:t>
            </w:r>
          </w:p>
        </w:tc>
        <w:tc>
          <w:tcPr>
            <w:tcW w:w="0" w:type="auto"/>
          </w:tcPr>
          <w:p w14:paraId="0B1C8682" w14:textId="77777777" w:rsidR="000E307E" w:rsidRDefault="00650EDC">
            <w:pPr>
              <w:pStyle w:val="Compact"/>
            </w:pPr>
            <w:r>
              <w:t xml:space="preserve">Engages in practices that </w:t>
            </w:r>
            <w:r>
              <w:lastRenderedPageBreak/>
              <w:t>result in acceptable, measurable, and appropriate student academic progress.</w:t>
            </w:r>
          </w:p>
        </w:tc>
        <w:tc>
          <w:tcPr>
            <w:tcW w:w="0" w:type="auto"/>
          </w:tcPr>
          <w:p w14:paraId="0B1C8683" w14:textId="77777777" w:rsidR="000E307E" w:rsidRDefault="00650EDC">
            <w:pPr>
              <w:pStyle w:val="Compact"/>
            </w:pPr>
            <w:r>
              <w:lastRenderedPageBreak/>
              <w:t>6,7,8</w:t>
            </w:r>
          </w:p>
        </w:tc>
        <w:tc>
          <w:tcPr>
            <w:tcW w:w="0" w:type="auto"/>
          </w:tcPr>
          <w:p w14:paraId="0B1C8684" w14:textId="77777777" w:rsidR="000E307E" w:rsidRDefault="00650EDC">
            <w:pPr>
              <w:pStyle w:val="Compact"/>
            </w:pPr>
            <w:r>
              <w:t>8</w:t>
            </w:r>
          </w:p>
        </w:tc>
        <w:tc>
          <w:tcPr>
            <w:tcW w:w="0" w:type="auto"/>
          </w:tcPr>
          <w:p w14:paraId="0B1C8685" w14:textId="77777777" w:rsidR="000E307E" w:rsidRDefault="00650EDC">
            <w:pPr>
              <w:pStyle w:val="Compact"/>
              <w:jc w:val="right"/>
            </w:pPr>
            <w:r>
              <w:t>3.30</w:t>
            </w:r>
          </w:p>
        </w:tc>
        <w:tc>
          <w:tcPr>
            <w:tcW w:w="0" w:type="auto"/>
          </w:tcPr>
          <w:p w14:paraId="0B1C8686" w14:textId="77777777" w:rsidR="000E307E" w:rsidRDefault="00650EDC">
            <w:pPr>
              <w:pStyle w:val="Compact"/>
              <w:jc w:val="right"/>
            </w:pPr>
            <w:r>
              <w:t>0.63</w:t>
            </w:r>
          </w:p>
        </w:tc>
        <w:tc>
          <w:tcPr>
            <w:tcW w:w="0" w:type="auto"/>
          </w:tcPr>
          <w:p w14:paraId="0B1C8687" w14:textId="77777777" w:rsidR="000E307E" w:rsidRDefault="00650EDC">
            <w:pPr>
              <w:pStyle w:val="Compact"/>
              <w:jc w:val="right"/>
            </w:pPr>
            <w:r>
              <w:t>1363</w:t>
            </w:r>
          </w:p>
        </w:tc>
        <w:tc>
          <w:tcPr>
            <w:tcW w:w="0" w:type="auto"/>
          </w:tcPr>
          <w:p w14:paraId="0B1C8688" w14:textId="77777777" w:rsidR="000E307E" w:rsidRDefault="00650EDC">
            <w:pPr>
              <w:pStyle w:val="Compact"/>
              <w:jc w:val="right"/>
            </w:pPr>
            <w:r>
              <w:t>3.37</w:t>
            </w:r>
          </w:p>
        </w:tc>
        <w:tc>
          <w:tcPr>
            <w:tcW w:w="0" w:type="auto"/>
          </w:tcPr>
          <w:p w14:paraId="0B1C8689" w14:textId="77777777" w:rsidR="000E307E" w:rsidRDefault="00650EDC">
            <w:pPr>
              <w:pStyle w:val="Compact"/>
              <w:jc w:val="right"/>
            </w:pPr>
            <w:r>
              <w:t>0.66</w:t>
            </w:r>
          </w:p>
        </w:tc>
        <w:tc>
          <w:tcPr>
            <w:tcW w:w="0" w:type="auto"/>
          </w:tcPr>
          <w:p w14:paraId="0B1C868A" w14:textId="77777777" w:rsidR="000E307E" w:rsidRDefault="00650EDC">
            <w:pPr>
              <w:pStyle w:val="Compact"/>
              <w:jc w:val="right"/>
            </w:pPr>
            <w:r>
              <w:t>52</w:t>
            </w:r>
          </w:p>
        </w:tc>
        <w:tc>
          <w:tcPr>
            <w:tcW w:w="0" w:type="auto"/>
          </w:tcPr>
          <w:p w14:paraId="0B1C868B" w14:textId="77777777" w:rsidR="000E307E" w:rsidRDefault="00650EDC">
            <w:pPr>
              <w:pStyle w:val="Compact"/>
              <w:jc w:val="right"/>
            </w:pPr>
            <w:r>
              <w:t>0.48</w:t>
            </w:r>
          </w:p>
        </w:tc>
      </w:tr>
      <w:tr w:rsidR="000E307E" w14:paraId="0B1C8698" w14:textId="77777777" w:rsidTr="00650EDC">
        <w:tc>
          <w:tcPr>
            <w:tcW w:w="0" w:type="auto"/>
          </w:tcPr>
          <w:p w14:paraId="0B1C868D" w14:textId="77777777" w:rsidR="000E307E" w:rsidRDefault="00650EDC">
            <w:pPr>
              <w:pStyle w:val="Compact"/>
            </w:pPr>
            <w:r>
              <w:t>IH</w:t>
            </w:r>
          </w:p>
        </w:tc>
        <w:tc>
          <w:tcPr>
            <w:tcW w:w="0" w:type="auto"/>
          </w:tcPr>
          <w:p w14:paraId="0B1C868E" w14:textId="77777777" w:rsidR="000E307E" w:rsidRDefault="00650EDC">
            <w:pPr>
              <w:pStyle w:val="Compact"/>
            </w:pPr>
            <w:r>
              <w:t>Uses content-aligned and developmentally appropriate instructional technology to enhance student learning.</w:t>
            </w:r>
          </w:p>
        </w:tc>
        <w:tc>
          <w:tcPr>
            <w:tcW w:w="0" w:type="auto"/>
          </w:tcPr>
          <w:p w14:paraId="0B1C868F" w14:textId="77777777" w:rsidR="000E307E" w:rsidRDefault="00650EDC">
            <w:pPr>
              <w:pStyle w:val="Compact"/>
            </w:pPr>
            <w:r>
              <w:t>7,8</w:t>
            </w:r>
          </w:p>
        </w:tc>
        <w:tc>
          <w:tcPr>
            <w:tcW w:w="0" w:type="auto"/>
          </w:tcPr>
          <w:p w14:paraId="0B1C8690" w14:textId="77777777" w:rsidR="000E307E" w:rsidRDefault="00650EDC">
            <w:pPr>
              <w:pStyle w:val="Compact"/>
            </w:pPr>
            <w:r>
              <w:t>3</w:t>
            </w:r>
          </w:p>
        </w:tc>
        <w:tc>
          <w:tcPr>
            <w:tcW w:w="0" w:type="auto"/>
          </w:tcPr>
          <w:p w14:paraId="0B1C8691" w14:textId="77777777" w:rsidR="000E307E" w:rsidRDefault="00650EDC">
            <w:pPr>
              <w:pStyle w:val="Compact"/>
              <w:jc w:val="right"/>
            </w:pPr>
            <w:r>
              <w:t>3.33</w:t>
            </w:r>
          </w:p>
        </w:tc>
        <w:tc>
          <w:tcPr>
            <w:tcW w:w="0" w:type="auto"/>
          </w:tcPr>
          <w:p w14:paraId="0B1C8692" w14:textId="77777777" w:rsidR="000E307E" w:rsidRDefault="00650EDC">
            <w:pPr>
              <w:pStyle w:val="Compact"/>
              <w:jc w:val="right"/>
            </w:pPr>
            <w:r>
              <w:t>0.58</w:t>
            </w:r>
          </w:p>
        </w:tc>
        <w:tc>
          <w:tcPr>
            <w:tcW w:w="0" w:type="auto"/>
          </w:tcPr>
          <w:p w14:paraId="0B1C8693" w14:textId="77777777" w:rsidR="000E307E" w:rsidRDefault="00650EDC">
            <w:pPr>
              <w:pStyle w:val="Compact"/>
              <w:jc w:val="right"/>
            </w:pPr>
            <w:r>
              <w:t>1360</w:t>
            </w:r>
          </w:p>
        </w:tc>
        <w:tc>
          <w:tcPr>
            <w:tcW w:w="0" w:type="auto"/>
          </w:tcPr>
          <w:p w14:paraId="0B1C8694" w14:textId="77777777" w:rsidR="000E307E" w:rsidRDefault="00650EDC">
            <w:pPr>
              <w:pStyle w:val="Compact"/>
              <w:jc w:val="right"/>
            </w:pPr>
            <w:r>
              <w:t>3.42</w:t>
            </w:r>
          </w:p>
        </w:tc>
        <w:tc>
          <w:tcPr>
            <w:tcW w:w="0" w:type="auto"/>
          </w:tcPr>
          <w:p w14:paraId="0B1C8695" w14:textId="77777777" w:rsidR="000E307E" w:rsidRDefault="00650EDC">
            <w:pPr>
              <w:pStyle w:val="Compact"/>
              <w:jc w:val="right"/>
            </w:pPr>
            <w:r>
              <w:t>0.63</w:t>
            </w:r>
          </w:p>
        </w:tc>
        <w:tc>
          <w:tcPr>
            <w:tcW w:w="0" w:type="auto"/>
          </w:tcPr>
          <w:p w14:paraId="0B1C8696" w14:textId="77777777" w:rsidR="000E307E" w:rsidRDefault="00650EDC">
            <w:pPr>
              <w:pStyle w:val="Compact"/>
              <w:jc w:val="right"/>
            </w:pPr>
            <w:r>
              <w:t>53</w:t>
            </w:r>
          </w:p>
        </w:tc>
        <w:tc>
          <w:tcPr>
            <w:tcW w:w="0" w:type="auto"/>
          </w:tcPr>
          <w:p w14:paraId="0B1C8697" w14:textId="77777777" w:rsidR="000E307E" w:rsidRDefault="00650EDC">
            <w:pPr>
              <w:pStyle w:val="Compact"/>
              <w:jc w:val="right"/>
            </w:pPr>
            <w:r>
              <w:t>0.33</w:t>
            </w:r>
          </w:p>
        </w:tc>
      </w:tr>
      <w:tr w:rsidR="000E307E" w14:paraId="0B1C86A4" w14:textId="77777777" w:rsidTr="00650EDC">
        <w:tc>
          <w:tcPr>
            <w:tcW w:w="0" w:type="auto"/>
          </w:tcPr>
          <w:p w14:paraId="0B1C8699" w14:textId="77777777" w:rsidR="000E307E" w:rsidRDefault="00650EDC">
            <w:pPr>
              <w:pStyle w:val="Compact"/>
            </w:pPr>
            <w:r>
              <w:t>IJ</w:t>
            </w:r>
          </w:p>
        </w:tc>
        <w:tc>
          <w:tcPr>
            <w:tcW w:w="0" w:type="auto"/>
          </w:tcPr>
          <w:p w14:paraId="0B1C869A" w14:textId="77777777" w:rsidR="000E307E" w:rsidRDefault="00650EDC">
            <w:pPr>
              <w:pStyle w:val="Compact"/>
            </w:pPr>
            <w:r>
              <w:t>Demonstrates a commitment to equity by providing instructional practices and classroom strategies that result in culturally inclusive and responsive learning environments and academic achievement for all students.</w:t>
            </w:r>
          </w:p>
        </w:tc>
        <w:tc>
          <w:tcPr>
            <w:tcW w:w="0" w:type="auto"/>
          </w:tcPr>
          <w:p w14:paraId="0B1C869B" w14:textId="77777777" w:rsidR="000E307E" w:rsidRDefault="00650EDC">
            <w:pPr>
              <w:pStyle w:val="Compact"/>
            </w:pPr>
            <w:r>
              <w:t>2,3,8</w:t>
            </w:r>
          </w:p>
        </w:tc>
        <w:tc>
          <w:tcPr>
            <w:tcW w:w="0" w:type="auto"/>
          </w:tcPr>
          <w:p w14:paraId="0B1C869C" w14:textId="77777777" w:rsidR="000E307E" w:rsidRDefault="00650EDC">
            <w:pPr>
              <w:pStyle w:val="Compact"/>
            </w:pPr>
            <w:r>
              <w:t>5,6</w:t>
            </w:r>
          </w:p>
        </w:tc>
        <w:tc>
          <w:tcPr>
            <w:tcW w:w="0" w:type="auto"/>
          </w:tcPr>
          <w:p w14:paraId="0B1C869D" w14:textId="77777777" w:rsidR="000E307E" w:rsidRDefault="00650EDC">
            <w:pPr>
              <w:pStyle w:val="Compact"/>
              <w:jc w:val="right"/>
            </w:pPr>
            <w:r>
              <w:t>3.40</w:t>
            </w:r>
          </w:p>
        </w:tc>
        <w:tc>
          <w:tcPr>
            <w:tcW w:w="0" w:type="auto"/>
          </w:tcPr>
          <w:p w14:paraId="0B1C869E" w14:textId="77777777" w:rsidR="000E307E" w:rsidRDefault="00650EDC">
            <w:pPr>
              <w:pStyle w:val="Compact"/>
              <w:jc w:val="right"/>
            </w:pPr>
            <w:r>
              <w:t>0.60</w:t>
            </w:r>
          </w:p>
        </w:tc>
        <w:tc>
          <w:tcPr>
            <w:tcW w:w="0" w:type="auto"/>
          </w:tcPr>
          <w:p w14:paraId="0B1C869F" w14:textId="77777777" w:rsidR="000E307E" w:rsidRDefault="00650EDC">
            <w:pPr>
              <w:pStyle w:val="Compact"/>
              <w:jc w:val="right"/>
            </w:pPr>
            <w:r>
              <w:t>1361</w:t>
            </w:r>
          </w:p>
        </w:tc>
        <w:tc>
          <w:tcPr>
            <w:tcW w:w="0" w:type="auto"/>
          </w:tcPr>
          <w:p w14:paraId="0B1C86A0" w14:textId="77777777" w:rsidR="000E307E" w:rsidRDefault="00650EDC">
            <w:pPr>
              <w:pStyle w:val="Compact"/>
              <w:jc w:val="right"/>
            </w:pPr>
            <w:r>
              <w:t>3.45</w:t>
            </w:r>
          </w:p>
        </w:tc>
        <w:tc>
          <w:tcPr>
            <w:tcW w:w="0" w:type="auto"/>
          </w:tcPr>
          <w:p w14:paraId="0B1C86A1" w14:textId="77777777" w:rsidR="000E307E" w:rsidRDefault="00650EDC">
            <w:pPr>
              <w:pStyle w:val="Compact"/>
              <w:jc w:val="right"/>
            </w:pPr>
            <w:r>
              <w:t>0.57</w:t>
            </w:r>
          </w:p>
        </w:tc>
        <w:tc>
          <w:tcPr>
            <w:tcW w:w="0" w:type="auto"/>
          </w:tcPr>
          <w:p w14:paraId="0B1C86A2" w14:textId="77777777" w:rsidR="000E307E" w:rsidRDefault="00650EDC">
            <w:pPr>
              <w:pStyle w:val="Compact"/>
              <w:jc w:val="right"/>
            </w:pPr>
            <w:r>
              <w:t>53</w:t>
            </w:r>
          </w:p>
        </w:tc>
        <w:tc>
          <w:tcPr>
            <w:tcW w:w="0" w:type="auto"/>
          </w:tcPr>
          <w:p w14:paraId="0B1C86A3" w14:textId="77777777" w:rsidR="000E307E" w:rsidRDefault="00650EDC">
            <w:pPr>
              <w:pStyle w:val="Compact"/>
              <w:jc w:val="right"/>
            </w:pPr>
            <w:r>
              <w:t>0.48</w:t>
            </w:r>
          </w:p>
        </w:tc>
      </w:tr>
      <w:tr w:rsidR="000E307E" w14:paraId="0B1C86B0" w14:textId="77777777" w:rsidTr="00650EDC">
        <w:tc>
          <w:tcPr>
            <w:tcW w:w="0" w:type="auto"/>
          </w:tcPr>
          <w:p w14:paraId="0B1C86A5" w14:textId="77777777" w:rsidR="000E307E" w:rsidRDefault="00650EDC">
            <w:pPr>
              <w:pStyle w:val="Compact"/>
            </w:pPr>
            <w:r>
              <w:t>IL</w:t>
            </w:r>
          </w:p>
        </w:tc>
        <w:tc>
          <w:tcPr>
            <w:tcW w:w="0" w:type="auto"/>
          </w:tcPr>
          <w:p w14:paraId="0B1C86A6" w14:textId="77777777" w:rsidR="000E307E" w:rsidRDefault="00650EDC">
            <w:pPr>
              <w:pStyle w:val="Compact"/>
            </w:pPr>
            <w:r>
              <w:t xml:space="preserve">Collaborates with the learning community (e.g. school personnel, caregivers, and volunteers) to meet the needs of all learners </w:t>
            </w:r>
            <w:r>
              <w:lastRenderedPageBreak/>
              <w:t>and contribute to a supportive culture.</w:t>
            </w:r>
          </w:p>
        </w:tc>
        <w:tc>
          <w:tcPr>
            <w:tcW w:w="0" w:type="auto"/>
          </w:tcPr>
          <w:p w14:paraId="0B1C86A7" w14:textId="77777777" w:rsidR="000E307E" w:rsidRDefault="00650EDC">
            <w:pPr>
              <w:pStyle w:val="Compact"/>
            </w:pPr>
            <w:r>
              <w:lastRenderedPageBreak/>
              <w:t>3,9,10</w:t>
            </w:r>
          </w:p>
        </w:tc>
        <w:tc>
          <w:tcPr>
            <w:tcW w:w="0" w:type="auto"/>
          </w:tcPr>
          <w:p w14:paraId="0B1C86A8" w14:textId="77777777" w:rsidR="000E307E" w:rsidRDefault="00650EDC">
            <w:pPr>
              <w:pStyle w:val="Compact"/>
            </w:pPr>
            <w:r>
              <w:t>7</w:t>
            </w:r>
          </w:p>
        </w:tc>
        <w:tc>
          <w:tcPr>
            <w:tcW w:w="0" w:type="auto"/>
          </w:tcPr>
          <w:p w14:paraId="0B1C86A9" w14:textId="77777777" w:rsidR="000E307E" w:rsidRDefault="00650EDC">
            <w:pPr>
              <w:pStyle w:val="Compact"/>
              <w:jc w:val="right"/>
            </w:pPr>
            <w:r>
              <w:t>3.38</w:t>
            </w:r>
          </w:p>
        </w:tc>
        <w:tc>
          <w:tcPr>
            <w:tcW w:w="0" w:type="auto"/>
          </w:tcPr>
          <w:p w14:paraId="0B1C86AA" w14:textId="77777777" w:rsidR="000E307E" w:rsidRDefault="00650EDC">
            <w:pPr>
              <w:pStyle w:val="Compact"/>
              <w:jc w:val="right"/>
            </w:pPr>
            <w:r>
              <w:t>0.64</w:t>
            </w:r>
          </w:p>
        </w:tc>
        <w:tc>
          <w:tcPr>
            <w:tcW w:w="0" w:type="auto"/>
          </w:tcPr>
          <w:p w14:paraId="0B1C86AB" w14:textId="77777777" w:rsidR="000E307E" w:rsidRDefault="00650EDC">
            <w:pPr>
              <w:pStyle w:val="Compact"/>
              <w:jc w:val="right"/>
            </w:pPr>
            <w:r>
              <w:t>1368</w:t>
            </w:r>
          </w:p>
        </w:tc>
        <w:tc>
          <w:tcPr>
            <w:tcW w:w="0" w:type="auto"/>
          </w:tcPr>
          <w:p w14:paraId="0B1C86AC" w14:textId="77777777" w:rsidR="000E307E" w:rsidRDefault="00650EDC">
            <w:pPr>
              <w:pStyle w:val="Compact"/>
              <w:jc w:val="right"/>
            </w:pPr>
            <w:r>
              <w:t>3.49</w:t>
            </w:r>
          </w:p>
        </w:tc>
        <w:tc>
          <w:tcPr>
            <w:tcW w:w="0" w:type="auto"/>
          </w:tcPr>
          <w:p w14:paraId="0B1C86AD" w14:textId="77777777" w:rsidR="000E307E" w:rsidRDefault="00650EDC">
            <w:pPr>
              <w:pStyle w:val="Compact"/>
              <w:jc w:val="right"/>
            </w:pPr>
            <w:r>
              <w:t>0.61</w:t>
            </w:r>
          </w:p>
        </w:tc>
        <w:tc>
          <w:tcPr>
            <w:tcW w:w="0" w:type="auto"/>
          </w:tcPr>
          <w:p w14:paraId="0B1C86AE" w14:textId="77777777" w:rsidR="000E307E" w:rsidRDefault="00650EDC">
            <w:pPr>
              <w:pStyle w:val="Compact"/>
              <w:jc w:val="right"/>
            </w:pPr>
            <w:r>
              <w:t>53</w:t>
            </w:r>
          </w:p>
        </w:tc>
        <w:tc>
          <w:tcPr>
            <w:tcW w:w="0" w:type="auto"/>
          </w:tcPr>
          <w:p w14:paraId="0B1C86AF" w14:textId="77777777" w:rsidR="000E307E" w:rsidRDefault="00650EDC">
            <w:pPr>
              <w:pStyle w:val="Compact"/>
              <w:jc w:val="right"/>
            </w:pPr>
            <w:r>
              <w:t>0.17</w:t>
            </w:r>
          </w:p>
        </w:tc>
      </w:tr>
      <w:tr w:rsidR="000E307E" w14:paraId="0B1C86BC" w14:textId="77777777" w:rsidTr="00650EDC">
        <w:tc>
          <w:tcPr>
            <w:tcW w:w="0" w:type="auto"/>
          </w:tcPr>
          <w:p w14:paraId="0B1C86B1" w14:textId="77777777" w:rsidR="000E307E" w:rsidRDefault="00650EDC">
            <w:pPr>
              <w:pStyle w:val="Compact"/>
            </w:pPr>
            <w:r>
              <w:t>IM</w:t>
            </w:r>
          </w:p>
        </w:tc>
        <w:tc>
          <w:tcPr>
            <w:tcW w:w="0" w:type="auto"/>
          </w:tcPr>
          <w:p w14:paraId="0B1C86B2" w14:textId="77777777" w:rsidR="000E307E" w:rsidRDefault="00650EDC">
            <w:pPr>
              <w:pStyle w:val="Compact"/>
            </w:pPr>
            <w:r>
              <w:t>Uses assessment results to inform and adjust practice.</w:t>
            </w:r>
          </w:p>
        </w:tc>
        <w:tc>
          <w:tcPr>
            <w:tcW w:w="0" w:type="auto"/>
          </w:tcPr>
          <w:p w14:paraId="0B1C86B3" w14:textId="77777777" w:rsidR="000E307E" w:rsidRDefault="00650EDC">
            <w:pPr>
              <w:pStyle w:val="Compact"/>
            </w:pPr>
            <w:r>
              <w:t>6</w:t>
            </w:r>
          </w:p>
        </w:tc>
        <w:tc>
          <w:tcPr>
            <w:tcW w:w="0" w:type="auto"/>
          </w:tcPr>
          <w:p w14:paraId="0B1C86B4" w14:textId="77777777" w:rsidR="000E307E" w:rsidRDefault="00650EDC">
            <w:pPr>
              <w:pStyle w:val="Compact"/>
            </w:pPr>
            <w:r>
              <w:t>4,8</w:t>
            </w:r>
          </w:p>
        </w:tc>
        <w:tc>
          <w:tcPr>
            <w:tcW w:w="0" w:type="auto"/>
          </w:tcPr>
          <w:p w14:paraId="0B1C86B5" w14:textId="77777777" w:rsidR="000E307E" w:rsidRDefault="00650EDC">
            <w:pPr>
              <w:pStyle w:val="Compact"/>
              <w:jc w:val="right"/>
            </w:pPr>
            <w:r>
              <w:t>3.24</w:t>
            </w:r>
          </w:p>
        </w:tc>
        <w:tc>
          <w:tcPr>
            <w:tcW w:w="0" w:type="auto"/>
          </w:tcPr>
          <w:p w14:paraId="0B1C86B6" w14:textId="77777777" w:rsidR="000E307E" w:rsidRDefault="00650EDC">
            <w:pPr>
              <w:pStyle w:val="Compact"/>
              <w:jc w:val="right"/>
            </w:pPr>
            <w:r>
              <w:t>0.64</w:t>
            </w:r>
          </w:p>
        </w:tc>
        <w:tc>
          <w:tcPr>
            <w:tcW w:w="0" w:type="auto"/>
          </w:tcPr>
          <w:p w14:paraId="0B1C86B7" w14:textId="77777777" w:rsidR="000E307E" w:rsidRDefault="00650EDC">
            <w:pPr>
              <w:pStyle w:val="Compact"/>
              <w:jc w:val="right"/>
            </w:pPr>
            <w:r>
              <w:t>1358</w:t>
            </w:r>
          </w:p>
        </w:tc>
        <w:tc>
          <w:tcPr>
            <w:tcW w:w="0" w:type="auto"/>
          </w:tcPr>
          <w:p w14:paraId="0B1C86B8" w14:textId="77777777" w:rsidR="000E307E" w:rsidRDefault="00650EDC">
            <w:pPr>
              <w:pStyle w:val="Compact"/>
              <w:jc w:val="right"/>
            </w:pPr>
            <w:r>
              <w:t>3.35</w:t>
            </w:r>
          </w:p>
        </w:tc>
        <w:tc>
          <w:tcPr>
            <w:tcW w:w="0" w:type="auto"/>
          </w:tcPr>
          <w:p w14:paraId="0B1C86B9" w14:textId="77777777" w:rsidR="000E307E" w:rsidRDefault="00650EDC">
            <w:pPr>
              <w:pStyle w:val="Compact"/>
              <w:jc w:val="right"/>
            </w:pPr>
            <w:r>
              <w:t>0.66</w:t>
            </w:r>
          </w:p>
        </w:tc>
        <w:tc>
          <w:tcPr>
            <w:tcW w:w="0" w:type="auto"/>
          </w:tcPr>
          <w:p w14:paraId="0B1C86BA" w14:textId="77777777" w:rsidR="000E307E" w:rsidRDefault="00650EDC">
            <w:pPr>
              <w:pStyle w:val="Compact"/>
              <w:jc w:val="right"/>
            </w:pPr>
            <w:r>
              <w:t>51</w:t>
            </w:r>
          </w:p>
        </w:tc>
        <w:tc>
          <w:tcPr>
            <w:tcW w:w="0" w:type="auto"/>
          </w:tcPr>
          <w:p w14:paraId="0B1C86BB" w14:textId="77777777" w:rsidR="000E307E" w:rsidRDefault="00650EDC">
            <w:pPr>
              <w:pStyle w:val="Compact"/>
              <w:jc w:val="right"/>
            </w:pPr>
            <w:r>
              <w:t>0.23</w:t>
            </w:r>
          </w:p>
        </w:tc>
      </w:tr>
      <w:tr w:rsidR="000E307E" w14:paraId="0B1C86C8" w14:textId="77777777" w:rsidTr="00650EDC">
        <w:tc>
          <w:tcPr>
            <w:tcW w:w="0" w:type="auto"/>
          </w:tcPr>
          <w:p w14:paraId="0B1C86BD" w14:textId="77777777" w:rsidR="000E307E" w:rsidRDefault="00650EDC">
            <w:pPr>
              <w:pStyle w:val="Compact"/>
            </w:pPr>
            <w:r>
              <w:t>IN</w:t>
            </w:r>
          </w:p>
        </w:tc>
        <w:tc>
          <w:tcPr>
            <w:tcW w:w="0" w:type="auto"/>
          </w:tcPr>
          <w:p w14:paraId="0B1C86BE" w14:textId="77777777" w:rsidR="000E307E" w:rsidRDefault="00650EDC">
            <w:pPr>
              <w:pStyle w:val="Compact"/>
            </w:pPr>
            <w:r>
              <w:t>Engages in reflection on the impact of their teaching practice and adapts to meet the needs of each learner.</w:t>
            </w:r>
          </w:p>
        </w:tc>
        <w:tc>
          <w:tcPr>
            <w:tcW w:w="0" w:type="auto"/>
          </w:tcPr>
          <w:p w14:paraId="0B1C86BF" w14:textId="77777777" w:rsidR="000E307E" w:rsidRDefault="00650EDC">
            <w:pPr>
              <w:pStyle w:val="Compact"/>
            </w:pPr>
            <w:r>
              <w:t>9</w:t>
            </w:r>
          </w:p>
        </w:tc>
        <w:tc>
          <w:tcPr>
            <w:tcW w:w="0" w:type="auto"/>
          </w:tcPr>
          <w:p w14:paraId="0B1C86C0" w14:textId="77777777" w:rsidR="000E307E" w:rsidRDefault="00650EDC">
            <w:pPr>
              <w:pStyle w:val="Compact"/>
            </w:pPr>
            <w:r>
              <w:t>7</w:t>
            </w:r>
          </w:p>
        </w:tc>
        <w:tc>
          <w:tcPr>
            <w:tcW w:w="0" w:type="auto"/>
          </w:tcPr>
          <w:p w14:paraId="0B1C86C1" w14:textId="77777777" w:rsidR="000E307E" w:rsidRDefault="00650EDC">
            <w:pPr>
              <w:pStyle w:val="Compact"/>
              <w:jc w:val="right"/>
            </w:pPr>
            <w:r>
              <w:t>3.29</w:t>
            </w:r>
          </w:p>
        </w:tc>
        <w:tc>
          <w:tcPr>
            <w:tcW w:w="0" w:type="auto"/>
          </w:tcPr>
          <w:p w14:paraId="0B1C86C2" w14:textId="77777777" w:rsidR="000E307E" w:rsidRDefault="00650EDC">
            <w:pPr>
              <w:pStyle w:val="Compact"/>
              <w:jc w:val="right"/>
            </w:pPr>
            <w:r>
              <w:t>0.66</w:t>
            </w:r>
          </w:p>
        </w:tc>
        <w:tc>
          <w:tcPr>
            <w:tcW w:w="0" w:type="auto"/>
          </w:tcPr>
          <w:p w14:paraId="0B1C86C3" w14:textId="77777777" w:rsidR="000E307E" w:rsidRDefault="00650EDC">
            <w:pPr>
              <w:pStyle w:val="Compact"/>
              <w:jc w:val="right"/>
            </w:pPr>
            <w:r>
              <w:t>1361</w:t>
            </w:r>
          </w:p>
        </w:tc>
        <w:tc>
          <w:tcPr>
            <w:tcW w:w="0" w:type="auto"/>
          </w:tcPr>
          <w:p w14:paraId="0B1C86C4" w14:textId="77777777" w:rsidR="000E307E" w:rsidRDefault="00650EDC">
            <w:pPr>
              <w:pStyle w:val="Compact"/>
              <w:jc w:val="right"/>
            </w:pPr>
            <w:r>
              <w:t>3.36</w:t>
            </w:r>
          </w:p>
        </w:tc>
        <w:tc>
          <w:tcPr>
            <w:tcW w:w="0" w:type="auto"/>
          </w:tcPr>
          <w:p w14:paraId="0B1C86C5" w14:textId="77777777" w:rsidR="000E307E" w:rsidRDefault="00650EDC">
            <w:pPr>
              <w:pStyle w:val="Compact"/>
              <w:jc w:val="right"/>
            </w:pPr>
            <w:r>
              <w:t>0.71</w:t>
            </w:r>
          </w:p>
        </w:tc>
        <w:tc>
          <w:tcPr>
            <w:tcW w:w="0" w:type="auto"/>
          </w:tcPr>
          <w:p w14:paraId="0B1C86C6" w14:textId="77777777" w:rsidR="000E307E" w:rsidRDefault="00650EDC">
            <w:pPr>
              <w:pStyle w:val="Compact"/>
              <w:jc w:val="right"/>
            </w:pPr>
            <w:r>
              <w:t>53</w:t>
            </w:r>
          </w:p>
        </w:tc>
        <w:tc>
          <w:tcPr>
            <w:tcW w:w="0" w:type="auto"/>
          </w:tcPr>
          <w:p w14:paraId="0B1C86C7" w14:textId="77777777" w:rsidR="000E307E" w:rsidRDefault="00650EDC">
            <w:pPr>
              <w:pStyle w:val="Compact"/>
              <w:jc w:val="right"/>
            </w:pPr>
            <w:r>
              <w:t>0.45</w:t>
            </w:r>
          </w:p>
        </w:tc>
      </w:tr>
      <w:tr w:rsidR="000E307E" w14:paraId="0B1C86D4" w14:textId="77777777" w:rsidTr="00650EDC">
        <w:tc>
          <w:tcPr>
            <w:tcW w:w="0" w:type="auto"/>
          </w:tcPr>
          <w:p w14:paraId="0B1C86C9" w14:textId="77777777" w:rsidR="000E307E" w:rsidRDefault="00650EDC">
            <w:pPr>
              <w:pStyle w:val="Compact"/>
            </w:pPr>
            <w:r>
              <w:t>I_O</w:t>
            </w:r>
          </w:p>
        </w:tc>
        <w:tc>
          <w:tcPr>
            <w:tcW w:w="0" w:type="auto"/>
          </w:tcPr>
          <w:p w14:paraId="0B1C86CA" w14:textId="77777777" w:rsidR="000E307E" w:rsidRDefault="00650EDC">
            <w:pPr>
              <w:pStyle w:val="Compact"/>
            </w:pPr>
            <w:r>
              <w:t>Based on your experience with this teacher, what best describes the extent to which they were ready to meet the needs of students in your school?</w:t>
            </w:r>
          </w:p>
        </w:tc>
        <w:tc>
          <w:tcPr>
            <w:tcW w:w="0" w:type="auto"/>
          </w:tcPr>
          <w:p w14:paraId="0B1C86CB" w14:textId="77777777" w:rsidR="000E307E" w:rsidRDefault="00650EDC">
            <w:pPr>
              <w:pStyle w:val="Compact"/>
            </w:pPr>
            <w:r>
              <w:t>N/A</w:t>
            </w:r>
          </w:p>
        </w:tc>
        <w:tc>
          <w:tcPr>
            <w:tcW w:w="0" w:type="auto"/>
          </w:tcPr>
          <w:p w14:paraId="0B1C86CC" w14:textId="77777777" w:rsidR="000E307E" w:rsidRDefault="00650EDC">
            <w:pPr>
              <w:pStyle w:val="Compact"/>
            </w:pPr>
            <w:r>
              <w:t>N/A</w:t>
            </w:r>
          </w:p>
        </w:tc>
        <w:tc>
          <w:tcPr>
            <w:tcW w:w="0" w:type="auto"/>
          </w:tcPr>
          <w:p w14:paraId="0B1C86CD" w14:textId="77777777" w:rsidR="000E307E" w:rsidRDefault="00650EDC">
            <w:pPr>
              <w:pStyle w:val="Compact"/>
              <w:jc w:val="right"/>
            </w:pPr>
            <w:r>
              <w:t>4.45</w:t>
            </w:r>
          </w:p>
        </w:tc>
        <w:tc>
          <w:tcPr>
            <w:tcW w:w="0" w:type="auto"/>
          </w:tcPr>
          <w:p w14:paraId="0B1C86CE" w14:textId="77777777" w:rsidR="000E307E" w:rsidRDefault="00650EDC">
            <w:pPr>
              <w:pStyle w:val="Compact"/>
              <w:jc w:val="right"/>
            </w:pPr>
            <w:r>
              <w:t>0.80</w:t>
            </w:r>
          </w:p>
        </w:tc>
        <w:tc>
          <w:tcPr>
            <w:tcW w:w="0" w:type="auto"/>
          </w:tcPr>
          <w:p w14:paraId="0B1C86CF" w14:textId="77777777" w:rsidR="000E307E" w:rsidRDefault="00650EDC">
            <w:pPr>
              <w:pStyle w:val="Compact"/>
              <w:jc w:val="right"/>
            </w:pPr>
            <w:r>
              <w:t>1379</w:t>
            </w:r>
          </w:p>
        </w:tc>
        <w:tc>
          <w:tcPr>
            <w:tcW w:w="0" w:type="auto"/>
          </w:tcPr>
          <w:p w14:paraId="0B1C86D0" w14:textId="77777777" w:rsidR="000E307E" w:rsidRDefault="00650EDC">
            <w:pPr>
              <w:pStyle w:val="Compact"/>
              <w:jc w:val="right"/>
            </w:pPr>
            <w:r>
              <w:t>4.56</w:t>
            </w:r>
          </w:p>
        </w:tc>
        <w:tc>
          <w:tcPr>
            <w:tcW w:w="0" w:type="auto"/>
          </w:tcPr>
          <w:p w14:paraId="0B1C86D1" w14:textId="77777777" w:rsidR="000E307E" w:rsidRDefault="00650EDC">
            <w:pPr>
              <w:pStyle w:val="Compact"/>
              <w:jc w:val="right"/>
            </w:pPr>
            <w:r>
              <w:t>0.72</w:t>
            </w:r>
          </w:p>
        </w:tc>
        <w:tc>
          <w:tcPr>
            <w:tcW w:w="0" w:type="auto"/>
          </w:tcPr>
          <w:p w14:paraId="0B1C86D2" w14:textId="77777777" w:rsidR="000E307E" w:rsidRDefault="00650EDC">
            <w:pPr>
              <w:pStyle w:val="Compact"/>
              <w:jc w:val="right"/>
            </w:pPr>
            <w:r>
              <w:t>54</w:t>
            </w:r>
          </w:p>
        </w:tc>
        <w:tc>
          <w:tcPr>
            <w:tcW w:w="0" w:type="auto"/>
          </w:tcPr>
          <w:p w14:paraId="0B1C86D3" w14:textId="77777777" w:rsidR="000E307E" w:rsidRDefault="00650EDC">
            <w:pPr>
              <w:pStyle w:val="Compact"/>
              <w:jc w:val="right"/>
            </w:pPr>
            <w:r>
              <w:t>0.30</w:t>
            </w:r>
          </w:p>
        </w:tc>
      </w:tr>
    </w:tbl>
    <w:p w14:paraId="16ABFBF0" w14:textId="77777777" w:rsidR="001D307A" w:rsidRDefault="001D307A" w:rsidP="001D307A">
      <w:pPr>
        <w:pStyle w:val="BodyText"/>
      </w:pPr>
      <w:r>
        <w:t>Items A through N asks program completers’ employers to rate their performance on 13 VUPS/</w:t>
      </w:r>
      <w:proofErr w:type="spellStart"/>
      <w:r>
        <w:t>InTASC</w:t>
      </w:r>
      <w:proofErr w:type="spellEnd"/>
      <w:r>
        <w:t xml:space="preserve"> items. Specifically, these items ask, “Please rate [Field-</w:t>
      </w:r>
      <w:proofErr w:type="spellStart"/>
      <w:proofErr w:type="gramStart"/>
      <w:r>
        <w:t>C.FirstName</w:t>
      </w:r>
      <w:proofErr w:type="spellEnd"/>
      <w:proofErr w:type="gramEnd"/>
      <w:r>
        <w:t>] [Field-</w:t>
      </w:r>
      <w:proofErr w:type="spellStart"/>
      <w:proofErr w:type="gramStart"/>
      <w:r>
        <w:t>C.LastName</w:t>
      </w:r>
      <w:proofErr w:type="spellEnd"/>
      <w:proofErr w:type="gramEnd"/>
      <w:r>
        <w:t xml:space="preserve">]’s performance on each of the </w:t>
      </w:r>
      <w:proofErr w:type="spellStart"/>
      <w:r>
        <w:t>following</w:t>
      </w:r>
      <w:proofErr w:type="gramStart"/>
      <w:r>
        <w:t>.”Respondent</w:t>
      </w:r>
      <w:proofErr w:type="spellEnd"/>
      <w:proofErr w:type="gramEnd"/>
      <w:r>
        <w:t xml:space="preserve"> can choose “Exemplary,” “Proficient,” “Developing/Needs Improvement,” or “Unacceptable.” To find the average rating, responses are coded, from 1 to 4. Higher values indicate more proficiency, and lower values indicate more unacceptability.</w:t>
      </w:r>
    </w:p>
    <w:p w14:paraId="5EECEC8B" w14:textId="77777777" w:rsidR="001D307A" w:rsidRPr="00A02756" w:rsidRDefault="001D307A" w:rsidP="001D307A">
      <w:pPr>
        <w:pStyle w:val="BodyText"/>
      </w:pPr>
      <w:r>
        <w:t xml:space="preserve">The last item in the VEAC employer survey asks, “Based on your experience with this teacher, what best describes the extent to which they were ready to meet the needs of students in your school?” Respondent employers could respond “Fully ready (able to have an immediate impact on student learning)”, “Mostly ready (able to successfully meet the needs of most students,” “Moderately ready (in order to be successful, needed additional training, support, and coaching beyond what is typically provided to beginning teachers),” </w:t>
      </w:r>
      <w:r>
        <w:lastRenderedPageBreak/>
        <w:t>“Minimally ready (limited success meeting the needs of students and improving outcomes even with additional supports)” or “Not ready (unable to meet the needs of students even with additional supports).” On this five-point scale, higher values indicate more satisfaction, and lower values indicate more dissatisfaction.</w:t>
      </w:r>
    </w:p>
    <w:p w14:paraId="423B7FD7" w14:textId="77777777" w:rsidR="001D307A" w:rsidRDefault="001D307A" w:rsidP="001D307A">
      <w:pPr>
        <w:pStyle w:val="BodyText"/>
      </w:pPr>
      <w:r w:rsidRPr="00A02756">
        <w:t>Table 1</w:t>
      </w:r>
      <w:r>
        <w:t xml:space="preserve"> provides responses to the 2024-25 VEAC Initial Licensure Survey. Column 1 (VEAC Item) provides the text for each revised VEAC survey item. For items A through N: Column 2 (</w:t>
      </w:r>
      <w:proofErr w:type="spellStart"/>
      <w:r>
        <w:t>InTASC</w:t>
      </w:r>
      <w:proofErr w:type="spellEnd"/>
      <w:r>
        <w:t xml:space="preserve">) provides the item alignment to the </w:t>
      </w:r>
      <w:proofErr w:type="spellStart"/>
      <w:r>
        <w:t>InTASC</w:t>
      </w:r>
      <w:proofErr w:type="spellEnd"/>
      <w:r>
        <w:t xml:space="preserve"> Standards. Column 3 (VUPS 2021) provides the item alignment to the 2021 Virginia Uniform Performance Standards. Column 4 (VEAC Mean) provides the average (mean) for responses to each survey item for all responses from all VEAC partners coded 1-4 for items A-N and 1-5 for item O. Column 5 provides the standard deviation for responses to each survey item for all responses from all VEAC partners coded 1-4. Column 6 provides the number of responses to each survey item. Note that response count does not include N/A or skipped responses. Column 7 (EPP Mean) provides the average (mean) for responses to each survey item for all responses from the EPP coded</w:t>
      </w:r>
      <w:proofErr w:type="gramStart"/>
      <w:r>
        <w:t xml:space="preserve"> Column</w:t>
      </w:r>
      <w:proofErr w:type="gramEnd"/>
      <w:r>
        <w:t xml:space="preserve"> 5 provides the standard deviation for responses to each survey item for all responses coded 1-4 for items A-N and 1-5 for item O. Column 6 provides the number of responses to each survey item from the EPP. Note that response count does not include N/A or skipped responses.</w:t>
      </w:r>
    </w:p>
    <w:p w14:paraId="0B1C86D7" w14:textId="04F719F8" w:rsidR="000E307E" w:rsidRDefault="000E307E" w:rsidP="001D307A">
      <w:pPr>
        <w:pStyle w:val="BodyText"/>
      </w:pPr>
    </w:p>
    <w:bookmarkEnd w:id="0"/>
    <w:sectPr w:rsidR="000E30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AF81BD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66782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E307E"/>
    <w:rsid w:val="000E307E"/>
    <w:rsid w:val="001D307A"/>
    <w:rsid w:val="004E154E"/>
    <w:rsid w:val="00565D95"/>
    <w:rsid w:val="00650EDC"/>
    <w:rsid w:val="00C8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1C861C"/>
  <w15:docId w15:val="{22AFFF52-D6A9-4F90-8CF8-49CFF892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1062</Words>
  <Characters>6055</Characters>
  <Application>Microsoft Office Word</Application>
  <DocSecurity>0</DocSecurity>
  <Lines>50</Lines>
  <Paragraphs>14</Paragraphs>
  <ScaleCrop>false</ScaleCrop>
  <Company>School of Education and Human Development</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Licensure Employer Survey 2024-2025 - Longwood University</dc:title>
  <dc:creator>Virginia Education Assessment Collaborative</dc:creator>
  <cp:keywords/>
  <cp:lastModifiedBy>Hanel, Joel Andrew (vat4aa)</cp:lastModifiedBy>
  <cp:revision>4</cp:revision>
  <dcterms:created xsi:type="dcterms:W3CDTF">2025-07-18T15:34:00Z</dcterms:created>
  <dcterms:modified xsi:type="dcterms:W3CDTF">2025-07-21T17:22:00Z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_options">
    <vt:lpwstr/>
  </property>
  <property fmtid="{D5CDD505-2E9C-101B-9397-08002B2CF9AE}" pid="3" name="output">
    <vt:lpwstr>word_document</vt:lpwstr>
  </property>
</Properties>
</file>